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4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lang w:val="cs-CZ" w:eastAsia="zh-CN" w:bidi="hi-IN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Minimální soubor SLA</w:t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32"/>
          <w:szCs w:val="32"/>
        </w:rPr>
      </w:pPr>
      <w:r>
        <w:rPr>
          <w:rFonts w:ascii="Helvetica Neue" w:hAnsi="Helvetica Neue"/>
          <w:sz w:val="32"/>
          <w:szCs w:val="32"/>
        </w:rPr>
      </w:r>
      <w:r>
        <w:br w:type="page"/>
      </w:r>
    </w:p>
    <w:p>
      <w:pPr>
        <w:pStyle w:val="Normal"/>
        <w:bidi w:val="0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Minimální soubor SLA</w:t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I.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Parametry kvality služby pro jednotlivé typy přístupu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povinné a volitelné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tbl>
      <w:tblPr>
        <w:tblW w:w="964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1"/>
        <w:gridCol w:w="2037"/>
        <w:gridCol w:w="1657"/>
        <w:gridCol w:w="1815"/>
        <w:gridCol w:w="1365"/>
      </w:tblGrid>
      <w:tr>
        <w:trPr/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Parametr kvality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pasivní infrastruktuře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(kabelovody, chráničky, nenasvícené optické vlákno)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Fyzick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é zpřístupnění účastnického vedení a jeho úseku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Virtu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ální zpřístupnění účastnického vedení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(VULA)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datovému toku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(Bitstream)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Doba z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řízení služby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(vč. změny typu přístupu – migrace a doby pro změnu poskytovatele služby)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 / volitelný *)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služby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Volitelný, povinný pouze pro vlákno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Doba opravy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žby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předávacího rozhraní služeb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Doba pro poskytnut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informace o volných kapacitách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objednávkového systému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Kvalita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žby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-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-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*) Uveden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é SLA je volitelné pouze pro změnu poskytovatele služby prostřednictvím přístupu k pasivní infrastruktuře, pro ostatní možnosti je povinné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umožní migraci mezi jednotlivými typy přístupu v pouze nezbytně nutných lhůtách tak, aby došlo k minimálnímu výpadku anebo přerušení poskytovaných služeb v koncovém bodě.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</w:r>
      <w:r>
        <w:br w:type="page"/>
      </w:r>
    </w:p>
    <w:p>
      <w:pPr>
        <w:pStyle w:val="BodyText"/>
        <w:spacing w:lineRule="auto" w:line="290" w:before="0" w:after="0"/>
        <w:ind w:hanging="0" w:left="136" w:right="135"/>
        <w:jc w:val="both"/>
        <w:rPr>
          <w:rFonts w:ascii="Helvetica Neue" w:hAnsi="Helvetica Neu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zřízení služby vč. migrace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pro zřízení služby pro všechny typy přístupu 30 dní a pro změnu poskytovatele služby 9 pracovních dnů.  Sprintel umožní a zajistí součinnost na své straně, aby změna poskytovatele služby mohla proběhnout v souladu s § 34a zákona o elektronických komunikacích a vyhlášky č. 58/2022 Sb. o podmínkách přenositelnosti čísel a změny poskytovatele služby přístupu k internetu.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ýpočet měsíční dostupnosti služby se provádí následujícím způsobem: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tbl>
      <w:tblPr>
        <w:tblW w:w="10095" w:type="dxa"/>
        <w:jc w:val="left"/>
        <w:tblInd w:w="-1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00"/>
        <w:gridCol w:w="7094"/>
      </w:tblGrid>
      <w:tr>
        <w:trPr/>
        <w:tc>
          <w:tcPr>
            <w:tcW w:w="3000" w:type="dxa"/>
            <w:vMerge w:val="restart"/>
            <w:tcBorders/>
            <w:vAlign w:val="center"/>
          </w:tcPr>
          <w:p>
            <w:pPr>
              <w:pStyle w:val="BodyText"/>
              <w:widowControl w:val="false"/>
              <w:spacing w:lineRule="auto" w:line="290" w:before="1" w:after="0"/>
              <w:ind w:hanging="0" w:left="136" w:right="135"/>
              <w:jc w:val="right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m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ěsíční dostupnost (v %) =</w:t>
            </w:r>
          </w:p>
        </w:tc>
        <w:tc>
          <w:tcPr>
            <w:tcW w:w="7094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[(po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v měsíci</w:t>
            </w:r>
            <w:r>
              <w:rPr>
                <w:rFonts w:ascii="Helvetica" w:hAnsi="Helvetica"/>
                <w:sz w:val="21"/>
                <w:szCs w:val="21"/>
              </w:rPr>
              <w:t>) - (sou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trvání všech poruch v měsíci)</w:t>
            </w:r>
            <w:r>
              <w:rPr>
                <w:rFonts w:ascii="Helvetica" w:hAnsi="Helvetica"/>
                <w:sz w:val="21"/>
                <w:szCs w:val="21"/>
              </w:rPr>
              <w:t>] x 100</w:t>
            </w:r>
          </w:p>
        </w:tc>
      </w:tr>
      <w:tr>
        <w:trPr/>
        <w:tc>
          <w:tcPr>
            <w:tcW w:w="3000" w:type="dxa"/>
            <w:vMerge w:val="continue"/>
            <w:tcBorders/>
          </w:tcPr>
          <w:p>
            <w:pPr>
              <w:pStyle w:val="Obsahtabulky"/>
              <w:widowControl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</w:tc>
        <w:tc>
          <w:tcPr>
            <w:tcW w:w="7094" w:type="dxa"/>
            <w:tcBorders/>
          </w:tcPr>
          <w:p>
            <w:pPr>
              <w:pStyle w:val="Obsahtabulky"/>
              <w:widowControl w:val="false"/>
              <w:jc w:val="center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(po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v měsíci)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/>
          <w:color w:val="auto"/>
          <w:kern w:val="2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sz w:val="24"/>
          <w:szCs w:val="24"/>
        </w:rPr>
        <w:t>Do celkov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 xml:space="preserve">é dostupnosti služby se za kalendářní měsíc nezapočítává doba přerušení provozu služby z důvodu plánované údržby nebo přenosu služby. Sprintel garantuje minimální měsíční dostupnost služby pro všechny typy přístupu </w:t>
      </w:r>
      <w:r>
        <w:rPr>
          <w:rFonts w:eastAsia="Songti SC" w:cs="Arial Unicode MS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98,5%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opravy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opravy pro jednotlivé typy přístupu tak, jak je uvedena v následující tabulce: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964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4"/>
        <w:gridCol w:w="4200"/>
      </w:tblGrid>
      <w:tr>
        <w:trPr/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pasivní infrastruktuře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(kabelovody, chráničky, nenasvícené optické vlákno) a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Fyzické zpřístupnění účastnického vedení a jeho úseku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Virtu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ální zpřístupnění účastnického vedení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(VULA) a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Přístup k datovému toku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(Bitstream)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20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80%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(jak s nutností, tak bez nutnosti výjezdu technika)</w:t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3 hodiny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80%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40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95%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(jak s nutností, tak bez nutnosti výjezdu technika)</w:t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12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18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99%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26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70%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(v případě nutnosti výjezdu technika)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předávacího rozhraní služeb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garantuje minim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ální měsíční dostupnost a maximální dobu opravy předávacího rozhraní služeb (síťové rozhraní mezi sítí Sprintel a sítí Partnera) v souladu s následující tabulkou: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/>
          <w:color w:val="auto"/>
          <w:kern w:val="2"/>
          <w:lang w:val="cs-CZ" w:eastAsia="zh-CN" w:bidi="hi-IN"/>
        </w:rPr>
      </w:r>
    </w:p>
    <w:tbl>
      <w:tblPr>
        <w:tblW w:w="7770" w:type="dxa"/>
        <w:jc w:val="left"/>
        <w:tblInd w:w="8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33"/>
        <w:gridCol w:w="5836"/>
      </w:tblGrid>
      <w:tr>
        <w:trPr/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Typ rozhran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předávacího rozhraní služeb</w:t>
            </w:r>
          </w:p>
        </w:tc>
      </w:tr>
      <w:tr>
        <w:trPr/>
        <w:tc>
          <w:tcPr>
            <w:tcW w:w="19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Nez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álohované</w:t>
            </w:r>
          </w:p>
        </w:tc>
        <w:tc>
          <w:tcPr>
            <w:tcW w:w="5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99,5%</w:t>
            </w:r>
          </w:p>
        </w:tc>
      </w:tr>
      <w:tr>
        <w:trPr/>
        <w:tc>
          <w:tcPr>
            <w:tcW w:w="19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Z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álohované</w:t>
            </w:r>
          </w:p>
        </w:tc>
        <w:tc>
          <w:tcPr>
            <w:tcW w:w="5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99,9%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pro poskytnutí informace o volných kapacitách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pro poskytnutí informace o volných kapacitách v případě pasivní infrastruktury a nenasvícených vláken ve lhůtě 3 dnů od jejich obdržení úplné žádosti elektronickou cestou (email nebo objednávkový systém) pro každou konkrétní poptanou trasu, území a typ infrastruktury. V případě nutnosti verifikace fyzickým šetřením bude šetření provedeno nejpozději do 15ti dnů od podání žádosti o toto šetření. Sprintel může tuto podmínku splnit přístupem k mapovým podkladům vybudované infrastruktury způsobem umožňujícím dálkový přístup.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objednávkového systému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garantuje minim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álně 95% měsíční dostupnost objednávkového systému, pokud je využíván. Doba nedostupnosti se vypočítá jak o délka časového úseku mezi okamžikem, kdy Partner nedostupnost objednávkové systému oznámil Sprintel a okamžikem, kdy Sprintel nedostupnost odstranil. O obnovení dostupnosti objednávkového systému je Sprintel povinen bez zbytečného odkladu vyrozumět Partnera.</w:t>
      </w:r>
    </w:p>
    <w:p>
      <w:pPr>
        <w:pStyle w:val="Normal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auto"/>
          <w:kern w:val="2"/>
          <w:sz w:val="24"/>
          <w:szCs w:val="24"/>
          <w:lang w:val="cs-CZ" w:eastAsia="zh-CN" w:bidi="hi-IN"/>
        </w:rPr>
        <w:t>Sprintel stanovuje a garantuje hraniční hodnoty chybovosti (ztrátovost) a zpoždění paketů / rámců v souladu s dokumentem ČTÚ Metodika pro měření a vyhodnocení datových parametrů pevných komunikačních sítí (Příloha č. 10).</w:t>
      </w:r>
    </w:p>
    <w:p>
      <w:pPr>
        <w:pStyle w:val="BodyText"/>
        <w:spacing w:lineRule="auto" w:line="290" w:before="1" w:after="0"/>
        <w:ind w:hanging="0" w:right="135"/>
        <w:jc w:val="center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4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69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4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717"/>
      <w:gridCol w:w="4928"/>
    </w:tblGrid>
    <w:tr>
      <w:trPr/>
      <w:tc>
        <w:tcPr>
          <w:tcW w:w="4717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11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928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542</TotalTime>
  <Application>LibreOffice/24.2.3.2$MacOSX_AARCH64 LibreOffice_project/433d9c2ded56988e8a90e6b2e771ee4e6a5ab2ba</Application>
  <AppVersion>15.0000</AppVersion>
  <Pages>4</Pages>
  <Words>665</Words>
  <Characters>4210</Characters>
  <CharactersWithSpaces>4783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2024-10-20T10:51:29Z</dcterms:modified>
  <cp:revision>183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