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footer3.xml" ContentType="application/vnd.openxmlformats-officedocument.wordprocessingml.footer+xml"/>
  <Override PartName="/word/media/image1.png" ContentType="image/png"/>
  <Override PartName="/word/media/image2.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45" w:type="dxa"/>
        <w:jc w:val="left"/>
        <w:tblInd w:w="0" w:type="dxa"/>
        <w:tblLayout w:type="fixed"/>
        <w:tblCellMar>
          <w:top w:w="55" w:type="dxa"/>
          <w:left w:w="55" w:type="dxa"/>
          <w:bottom w:w="55" w:type="dxa"/>
          <w:right w:w="55" w:type="dxa"/>
        </w:tblCellMar>
      </w:tblPr>
      <w:tblGrid>
        <w:gridCol w:w="3734"/>
        <w:gridCol w:w="5910"/>
      </w:tblGrid>
      <w:tr>
        <w:trPr/>
        <w:tc>
          <w:tcPr>
            <w:tcW w:w="3734" w:type="dxa"/>
            <w:tcBorders/>
            <w:vAlign w:val="center"/>
          </w:tcPr>
          <w:p>
            <w:pPr>
              <w:pStyle w:val="Obsahtabulky"/>
              <w:widowControl w:val="false"/>
              <w:rPr/>
            </w:pPr>
            <w:r>
              <w:rPr/>
              <w:drawing>
                <wp:inline distT="0" distB="0" distL="0" distR="0">
                  <wp:extent cx="2300605" cy="105664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2300605" cy="1056640"/>
                          </a:xfrm>
                          <a:prstGeom prst="rect">
                            <a:avLst/>
                          </a:prstGeom>
                        </pic:spPr>
                      </pic:pic>
                    </a:graphicData>
                  </a:graphic>
                </wp:inline>
              </w:drawing>
            </w:r>
          </w:p>
        </w:tc>
        <w:tc>
          <w:tcPr>
            <w:tcW w:w="5910" w:type="dxa"/>
            <w:tcBorders/>
          </w:tcPr>
          <w:p>
            <w:pPr>
              <w:pStyle w:val="Obsahtabulky"/>
              <w:widowControl w:val="false"/>
              <w:suppressLineNumbers/>
              <w:suppressAutoHyphens w:val="true"/>
              <w:bidi w:val="0"/>
              <w:spacing w:before="0" w:after="0"/>
              <w:ind w:hanging="0" w:left="113" w:right="0"/>
              <w:jc w:val="left"/>
              <w:rPr>
                <w:sz w:val="36"/>
                <w:szCs w:val="36"/>
              </w:rPr>
            </w:pPr>
            <w:r>
              <w:rPr>
                <w:rFonts w:ascii="Helvetica Neue" w:hAnsi="Helvetica Neue"/>
                <w:sz w:val="36"/>
                <w:szCs w:val="36"/>
              </w:rPr>
              <w:t>Referenční velkoobchodní nabídka</w:t>
            </w:r>
          </w:p>
          <w:p>
            <w:pPr>
              <w:pStyle w:val="Obsahtabulky"/>
              <w:widowControl w:val="false"/>
              <w:suppressLineNumbers/>
              <w:suppressAutoHyphens w:val="true"/>
              <w:bidi w:val="0"/>
              <w:spacing w:before="0" w:after="0"/>
              <w:ind w:hanging="0" w:left="113" w:right="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hanging="0" w:left="113" w:right="0"/>
              <w:jc w:val="left"/>
              <w:rPr>
                <w:sz w:val="24"/>
                <w:szCs w:val="24"/>
              </w:rPr>
            </w:pPr>
            <w:r>
              <w:rPr>
                <w:rFonts w:ascii="Helvetica Neue" w:hAnsi="Helvetica Neue"/>
                <w:sz w:val="24"/>
                <w:szCs w:val="24"/>
              </w:rPr>
              <w:t>přístupu na sítích VHCN budovaných s využitím dotačních programů</w:t>
            </w:r>
          </w:p>
          <w:p>
            <w:pPr>
              <w:pStyle w:val="Obsahtabulky"/>
              <w:widowControl w:val="false"/>
              <w:suppressLineNumbers/>
              <w:suppressAutoHyphens w:val="true"/>
              <w:bidi w:val="0"/>
              <w:spacing w:before="0" w:after="0"/>
              <w:ind w:hanging="0" w:left="113" w:right="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hanging="0" w:left="113" w:right="0"/>
              <w:jc w:val="left"/>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suppressLineNumbers/>
              <w:suppressAutoHyphens w:val="true"/>
              <w:bidi w:val="0"/>
              <w:spacing w:before="0" w:after="0"/>
              <w:ind w:hanging="0" w:left="113" w:right="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hanging="0" w:left="113" w:right="0"/>
              <w:jc w:val="left"/>
              <w:rPr/>
            </w:pPr>
            <w:r>
              <w:rPr>
                <w:rFonts w:eastAsia="Songti SC" w:cs="Arial Unicode MS" w:ascii="Helvetica Neue" w:hAnsi="Helvetica Neue"/>
                <w:color w:val="auto"/>
                <w:kern w:val="2"/>
                <w:sz w:val="32"/>
                <w:szCs w:val="32"/>
                <w:lang w:val="cs-CZ" w:eastAsia="zh-CN" w:bidi="hi-IN"/>
              </w:rPr>
              <w:t>příloha č. 3f - Služba zpřístupnění datového toku (Bitstream)</w:t>
            </w:r>
          </w:p>
        </w:tc>
      </w:tr>
    </w:tbl>
    <w:p>
      <w:pPr>
        <w:pStyle w:val="Obsahtabulky"/>
        <w:widowControl w:val="false"/>
        <w:bidi w:val="0"/>
        <w:ind w:hanging="0" w:left="1440"/>
        <w:jc w:val="left"/>
        <w:rPr>
          <w:sz w:val="20"/>
          <w:szCs w:val="20"/>
        </w:rPr>
      </w:pPr>
      <w:r>
        <w:rPr>
          <w:sz w:val="20"/>
          <w:szCs w:val="20"/>
        </w:rPr>
      </w:r>
    </w:p>
    <w:p>
      <w:pPr>
        <w:pStyle w:val="Heading1"/>
        <w:tabs>
          <w:tab w:val="clear" w:pos="720"/>
          <w:tab w:val="left" w:pos="403" w:leader="none"/>
        </w:tabs>
        <w:spacing w:before="89" w:after="0"/>
        <w:ind w:hanging="0" w:left="134"/>
        <w:jc w:val="center"/>
        <w:rPr/>
      </w:pPr>
      <w:r>
        <w:rPr>
          <w:rFonts w:ascii="Helvetica Neue" w:hAnsi="Helvetica Neue"/>
        </w:rPr>
        <w:t>Služba zpřístupnění datového toku (Bitstream)</w:t>
      </w:r>
    </w:p>
    <w:p>
      <w:pPr>
        <w:pStyle w:val="Heading1"/>
        <w:tabs>
          <w:tab w:val="clear" w:pos="720"/>
          <w:tab w:val="left" w:pos="403" w:leader="none"/>
        </w:tabs>
        <w:spacing w:before="89" w:after="0"/>
        <w:ind w:hanging="0" w:left="134"/>
        <w:jc w:val="center"/>
        <w:rPr/>
      </w:pPr>
      <w:r>
        <w:rPr>
          <w:rFonts w:ascii="Helvetica Neue" w:hAnsi="Helvetica Neue"/>
        </w:rPr>
        <w:t>Technická specifikace a specifikace služby</w:t>
      </w:r>
    </w:p>
    <w:p>
      <w:pPr>
        <w:pStyle w:val="BodyText"/>
        <w:spacing w:before="2" w:after="0"/>
        <w:rPr>
          <w:rFonts w:ascii="Helvetica Neue" w:hAnsi="Helvetica Neue" w:cs="Arial"/>
          <w:sz w:val="24"/>
          <w:szCs w:val="24"/>
        </w:rPr>
      </w:pPr>
      <w:r>
        <w:rPr>
          <w:rFonts w:cs="Arial" w:ascii="Helvetica Neue" w:hAnsi="Helvetica Neue"/>
          <w:sz w:val="24"/>
          <w:szCs w:val="24"/>
        </w:rPr>
      </w:r>
    </w:p>
    <w:tbl>
      <w:tblPr>
        <w:tblW w:w="9300" w:type="dxa"/>
        <w:jc w:val="left"/>
        <w:tblInd w:w="126" w:type="dxa"/>
        <w:tblLayout w:type="fixed"/>
        <w:tblCellMar>
          <w:top w:w="55" w:type="dxa"/>
          <w:left w:w="55" w:type="dxa"/>
          <w:bottom w:w="55" w:type="dxa"/>
          <w:right w:w="55" w:type="dxa"/>
        </w:tblCellMar>
      </w:tblPr>
      <w:tblGrid>
        <w:gridCol w:w="4694"/>
        <w:gridCol w:w="4605"/>
      </w:tblGrid>
      <w:tr>
        <w:trPr/>
        <w:tc>
          <w:tcPr>
            <w:tcW w:w="4694" w:type="dxa"/>
            <w:tcBorders/>
          </w:tcPr>
          <w:p>
            <w:pPr>
              <w:pStyle w:val="Obsahtabulky"/>
              <w:widowControl w:val="false"/>
              <w:rPr>
                <w:sz w:val="26"/>
                <w:szCs w:val="26"/>
              </w:rPr>
            </w:pPr>
            <w:r>
              <w:rPr>
                <w:rFonts w:ascii="Helvetica Neue" w:hAnsi="Helvetica Neue"/>
                <w:sz w:val="26"/>
                <w:szCs w:val="26"/>
              </w:rPr>
              <w:t xml:space="preserve">Služba </w:t>
            </w:r>
            <w:r>
              <w:rPr>
                <w:rFonts w:eastAsia="Songti SC" w:cs="Arial Unicode MS" w:ascii="Helvetica Neue" w:hAnsi="Helvetica Neue"/>
                <w:color w:val="auto"/>
                <w:kern w:val="2"/>
                <w:sz w:val="26"/>
                <w:szCs w:val="26"/>
                <w:lang w:val="cs-CZ" w:eastAsia="zh-CN" w:bidi="hi-IN"/>
              </w:rPr>
              <w:t>č.</w:t>
            </w:r>
            <w:r>
              <w:rPr>
                <w:rFonts w:ascii="Helvetica Neue" w:hAnsi="Helvetica Neue"/>
                <w:sz w:val="26"/>
                <w:szCs w:val="26"/>
              </w:rPr>
              <w:t xml:space="preserve"> :</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Partner – jm</w:t>
            </w:r>
            <w:r>
              <w:rPr>
                <w:rFonts w:eastAsia="Songti SC" w:cs="Arial Unicode MS" w:ascii="Helvetica Neue" w:hAnsi="Helvetica Neue"/>
                <w:color w:val="auto"/>
                <w:kern w:val="2"/>
                <w:sz w:val="26"/>
                <w:szCs w:val="26"/>
                <w:lang w:val="cs-CZ" w:eastAsia="zh-CN" w:bidi="hi-IN"/>
              </w:rPr>
              <w:t>éno/název:</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Partner – ID:</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Obec:</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eastAsia="Songti SC" w:cs="Arial Unicode MS" w:ascii="Helvetica Neue" w:hAnsi="Helvetica Neue"/>
                <w:color w:val="auto"/>
                <w:kern w:val="2"/>
                <w:sz w:val="26"/>
                <w:szCs w:val="26"/>
                <w:lang w:val="cs-CZ" w:eastAsia="zh-CN" w:bidi="hi-IN"/>
              </w:rPr>
              <w:t>Žádost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šetření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implementace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Zprovozn</w:t>
            </w:r>
            <w:r>
              <w:rPr>
                <w:rFonts w:eastAsia="Songti SC" w:cs="Arial Unicode MS" w:ascii="Helvetica Neue" w:hAnsi="Helvetica Neue"/>
                <w:color w:val="auto"/>
                <w:kern w:val="2"/>
                <w:sz w:val="26"/>
                <w:szCs w:val="26"/>
                <w:lang w:val="cs-CZ" w:eastAsia="zh-CN" w:bidi="hi-IN"/>
              </w:rPr>
              <w:t>ění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w:t>
            </w:r>
            <w:r>
              <w:rPr>
                <w:rFonts w:eastAsia="Songti SC" w:cs="Arial Unicode MS" w:ascii="Helvetica Neue" w:hAnsi="Helvetica Neue"/>
                <w:color w:val="auto"/>
                <w:kern w:val="2"/>
                <w:sz w:val="26"/>
                <w:szCs w:val="26"/>
                <w:lang w:val="cs-CZ" w:eastAsia="zh-CN" w:bidi="hi-IN"/>
              </w:rPr>
              <w:t>ředání služby Partnerovi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bl>
    <w:p>
      <w:pPr>
        <w:pStyle w:val="BodyText"/>
        <w:spacing w:lineRule="auto" w:line="290" w:before="1" w:after="0"/>
        <w:ind w:hanging="0" w:left="136" w:right="135"/>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Služba zpřístupnění datového toku (Bitstream)</w:t>
      </w:r>
    </w:p>
    <w:p>
      <w:pPr>
        <w:pStyle w:val="BodyText"/>
        <w:spacing w:lineRule="auto" w:line="290" w:before="1" w:after="0"/>
        <w:ind w:hanging="0" w:left="136" w:right="135"/>
        <w:jc w:val="both"/>
        <w:rPr>
          <w:rFonts w:ascii="Helvetica Neue" w:hAnsi="Helvetica Neue"/>
          <w:sz w:val="12"/>
          <w:szCs w:val="12"/>
          <w:highlight w:val="none"/>
          <w:shd w:fill="auto" w:val="clear"/>
        </w:rPr>
      </w:pPr>
      <w:r>
        <w:rPr>
          <w:rFonts w:ascii="Helvetica Neue" w:hAnsi="Helvetica Neue"/>
          <w:sz w:val="12"/>
          <w:szCs w:val="12"/>
          <w:shd w:fill="auto" w:val="clear"/>
        </w:rPr>
      </w:r>
    </w:p>
    <w:p>
      <w:pPr>
        <w:pStyle w:val="BodyText"/>
        <w:spacing w:lineRule="auto" w:line="290" w:before="1" w:after="0"/>
        <w:ind w:hanging="0" w:left="136" w:right="135"/>
        <w:jc w:val="both"/>
        <w:rPr>
          <w:highlight w:val="none"/>
          <w:shd w:fill="FFFF00" w:val="clear"/>
        </w:rPr>
      </w:pPr>
      <w:r>
        <w:rPr>
          <w:rFonts w:ascii="Helvetica Neue" w:hAnsi="Helvetica Neue"/>
          <w:shd w:fill="auto" w:val="clear"/>
        </w:rPr>
        <w:t>Dotovan</w:t>
      </w:r>
      <w:r>
        <w:rPr>
          <w:rFonts w:eastAsia="Songti SC" w:cs="Arial Unicode MS" w:ascii="Helvetica Neue" w:hAnsi="Helvetica Neue"/>
          <w:color w:val="000000"/>
          <w:kern w:val="2"/>
          <w:sz w:val="24"/>
          <w:szCs w:val="24"/>
          <w:shd w:fill="auto" w:val="clear"/>
          <w:lang w:val="cs-CZ" w:eastAsia="zh-CN" w:bidi="hi-IN"/>
        </w:rPr>
        <w:t>á síť je již ve svém návrhu dimenzována pro možnost virtuálního zpřístupnění datového toku na úrovni vyhrazené kapacity vedení (datové cesty) mezi přístupovým bodem Bitstream (BSP) a koncovým bodem přístupové sítě. Sprintel prohlašuje, že je vlastníkem nebo oprávněným uživatelem pasivní a aktivní infrastruktury, prostřednictvím níž bude partnerovi poskytována služba zpřístupnění datového toku specifikovaná v této příloze (dále jen Služba). Služba Bitstream je Partnerovi technicky poskytována jako kombinace služby VULA v úseku mezi koncovým bodem a soustřeďovacím uzlem dotované sítě (CO) a služby datového okruhu mezi CO a předávacím bodem Bitstream (BSP), viz příloha č. 8, přičemž propojení mezi oběma službami je zajištěno virtuálně aktivními prvky Sprintel. Součástí mohou být i doplňkové služby.</w:t>
      </w:r>
    </w:p>
    <w:p>
      <w:pPr>
        <w:pStyle w:val="BodyText"/>
        <w:spacing w:lineRule="auto" w:line="290" w:before="1" w:after="0"/>
        <w:ind w:hanging="0" w:left="136" w:right="135"/>
        <w:jc w:val="both"/>
        <w:rPr>
          <w:sz w:val="16"/>
          <w:szCs w:val="16"/>
          <w:highlight w:val="none"/>
          <w:shd w:fill="auto" w:val="clear"/>
        </w:rPr>
      </w:pPr>
      <w:r>
        <w:rPr>
          <w:sz w:val="16"/>
          <w:szCs w:val="16"/>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Koncové zařízení pořizuje Partner a zůstává v jeho majetku a odpovědnosti po celou dobu poskytování každé služby. Předávacím rozhraním je tak XGS-PON dle normy ITU G.9807.1. Z důvody kompatibility a zachování integrity sítě je partner oprávněn připojovat pouze zařízení typu a konfigurace, kterou Sprintel předem schválil.</w:t>
      </w:r>
    </w:p>
    <w:p>
      <w:pPr>
        <w:pStyle w:val="BodyText"/>
        <w:spacing w:lineRule="auto" w:line="290" w:before="1" w:after="0"/>
        <w:ind w:hanging="0" w:left="136" w:right="135"/>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Datový provoz z koncových zařízení Partnera umístěných v jednotlivých koncových bodech je předáván v přístupovém bodě Bitstream (BSP) do sítě partnera technologií Ethernet bez řízené agregace s využitím VLAN (IEEE 802.1Q). V případě použití NGPON2 technologie může být přístup ze sítě Partnera do koncového bodu umožněn zpřístupněním dedikované vlnové délky (WDM). Nad rámec základní VLAN s konfigurací QoS na úrovni best-effort lze na žádost Partnera poskytnout také druhou VLAN s možností volby mezi best-effort a zvýšenou úrovní kvality služby, dle volby Partnera. V případě změny konfigurace sítě s dopadem na službu bude postupováno dle přílohy č. 5.</w:t>
      </w:r>
    </w:p>
    <w:p>
      <w:pPr>
        <w:pStyle w:val="BodyText"/>
        <w:spacing w:lineRule="auto" w:line="290" w:before="1" w:after="0"/>
        <w:ind w:hanging="0" w:left="136" w:right="135"/>
        <w:jc w:val="both"/>
        <w:rPr>
          <w:rFonts w:ascii="Helvetica Neue" w:hAnsi="Helvetica Neue"/>
          <w:sz w:val="16"/>
          <w:szCs w:val="16"/>
          <w:highlight w:val="none"/>
          <w:shd w:fill="FFFF00" w:val="clear"/>
        </w:rPr>
      </w:pPr>
      <w:r>
        <w:rPr>
          <w:rFonts w:ascii="Helvetica Neue" w:hAnsi="Helvetica Neue"/>
          <w:sz w:val="16"/>
          <w:szCs w:val="16"/>
          <w:shd w:fill="FFFF00"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Za podmínek stanovených Smlouvou a jejími přílohami tímto Sprintel uděluje Partnerovi právo zpřístupnění datového toku specifikovaného v této příloze v následující kapacitě:</w:t>
      </w:r>
    </w:p>
    <w:p>
      <w:pPr>
        <w:pStyle w:val="BodyText"/>
        <w:spacing w:lineRule="auto" w:line="290" w:before="1" w:after="0"/>
        <w:ind w:hanging="0" w:left="136" w:right="135"/>
        <w:jc w:val="both"/>
        <w:rPr>
          <w:sz w:val="16"/>
          <w:szCs w:val="16"/>
        </w:rPr>
      </w:pPr>
      <w:r>
        <w:rPr>
          <w:sz w:val="16"/>
          <w:szCs w:val="16"/>
        </w:rPr>
      </w:r>
    </w:p>
    <w:tbl>
      <w:tblPr>
        <w:tblW w:w="5000" w:type="pct"/>
        <w:jc w:val="left"/>
        <w:tblInd w:w="0" w:type="dxa"/>
        <w:tblLayout w:type="fixed"/>
        <w:tblCellMar>
          <w:top w:w="55" w:type="dxa"/>
          <w:left w:w="55" w:type="dxa"/>
          <w:bottom w:w="55" w:type="dxa"/>
          <w:right w:w="55" w:type="dxa"/>
        </w:tblCellMar>
      </w:tblPr>
      <w:tblGrid>
        <w:gridCol w:w="397"/>
        <w:gridCol w:w="6629"/>
        <w:gridCol w:w="1252"/>
        <w:gridCol w:w="1359"/>
      </w:tblGrid>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A</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160 / 160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B</w:t>
            </w:r>
          </w:p>
        </w:tc>
        <w:tc>
          <w:tcPr>
            <w:tcW w:w="6629" w:type="dxa"/>
            <w:tcBorders/>
          </w:tcPr>
          <w:p>
            <w:pPr>
              <w:pStyle w:val="Obsahtabulky"/>
              <w:suppressAutoHyphens w:val="true"/>
              <w:bidi w:val="0"/>
              <w:spacing w:before="57" w:after="57"/>
              <w:jc w:val="left"/>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color w:val="auto"/>
                <w:kern w:val="2"/>
                <w:sz w:val="26"/>
                <w:szCs w:val="26"/>
                <w:lang w:val="cs-CZ" w:eastAsia="zh-CN" w:bidi="hi-IN"/>
              </w:rPr>
              <w:t>250</w:t>
            </w:r>
            <w:r>
              <w:rPr>
                <w:rFonts w:eastAsia="Songti SC" w:cs="Arial Unicode MS" w:ascii="Helvetica Neue" w:hAnsi="Helvetica Neue"/>
                <w:b/>
                <w:bCs/>
                <w:color w:val="auto"/>
                <w:kern w:val="2"/>
                <w:sz w:val="26"/>
                <w:szCs w:val="26"/>
                <w:lang w:val="cs-CZ" w:eastAsia="zh-CN" w:bidi="hi-IN"/>
              </w:rPr>
              <w:t xml:space="preserve"> / </w:t>
            </w:r>
            <w:r>
              <w:rPr>
                <w:rFonts w:eastAsia="Songti SC" w:cs="Arial Unicode MS" w:ascii="Helvetica Neue" w:hAnsi="Helvetica Neue"/>
                <w:b/>
                <w:bCs/>
                <w:color w:val="auto"/>
                <w:kern w:val="2"/>
                <w:sz w:val="26"/>
                <w:szCs w:val="26"/>
                <w:lang w:val="cs-CZ" w:eastAsia="zh-CN" w:bidi="hi-IN"/>
              </w:rPr>
              <w:t>250</w:t>
            </w:r>
            <w:r>
              <w:rPr>
                <w:rFonts w:eastAsia="Songti SC" w:cs="Arial Unicode MS" w:ascii="Helvetica Neue" w:hAnsi="Helvetica Neue"/>
                <w:b/>
                <w:bCs/>
                <w:color w:val="auto"/>
                <w:kern w:val="2"/>
                <w:sz w:val="26"/>
                <w:szCs w:val="26"/>
                <w:lang w:val="cs-CZ" w:eastAsia="zh-CN" w:bidi="hi-IN"/>
              </w:rPr>
              <w:t xml:space="preserve">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C</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300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D</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500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E</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1000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bl>
    <w:p>
      <w:pPr>
        <w:pStyle w:val="BodyText"/>
        <w:spacing w:lineRule="auto" w:line="290" w:before="1" w:after="0"/>
        <w:ind w:hanging="0" w:left="136" w:right="135"/>
        <w:jc w:val="both"/>
        <w:rPr/>
      </w:pPr>
      <w: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Místo přístupu k pasivní infrastruktuře a účel užívání</w:t>
      </w:r>
    </w:p>
    <w:p>
      <w:pPr>
        <w:pStyle w:val="BodyText"/>
        <w:spacing w:lineRule="auto" w:line="290" w:before="1" w:after="0"/>
        <w:ind w:hanging="0" w:left="136" w:right="135"/>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Příloha č. 2 – Schéma sítě, seznam jejích částí a pokrytých základních sídelních jednotek popisuje a specifikuje místa určené k přístupu s ohledem na dlouhodobou udržitelnost, udržovatelnost a zachování dlouhodobé kvality a možnosti budoucího rozvoje  zpřístupňované infrastruktury. Přístup je tedy možný za podmínek specifikovaných touto smlouvou v bodech DSP, při propojení do DSP s využitím služby zpřístupnění pasivní infrastruktury (příloha 3b) je přístup možný také v místech tvořících Central office (CO), koncentrační bod (CP), v aktivních uzlech (PoP), datacentrech (DC) a po předchozím posouzení v kabelových komorách. V případech, kdy se jedná o venkovní prvky (rozvaděče CP, komory apod.) je přístup podmíněn také získáním potřebného povolení k realizaci napojení infrastruktury Partnera, pokud ta se v daném prvku (rozvaděč, komora apod.) dosud nenachází.</w:t>
      </w:r>
    </w:p>
    <w:p>
      <w:pPr>
        <w:pStyle w:val="BodyText"/>
        <w:spacing w:lineRule="auto" w:line="290" w:before="1" w:after="0"/>
        <w:ind w:hanging="0" w:left="136" w:right="135"/>
        <w:jc w:val="both"/>
        <w:rPr>
          <w:sz w:val="16"/>
          <w:szCs w:val="16"/>
        </w:rPr>
      </w:pPr>
      <w:r>
        <w:rPr>
          <w:sz w:val="16"/>
          <w:szCs w:val="16"/>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Kvalita služby</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Sprintel se zavazuje p</w:t>
      </w:r>
      <w:r>
        <w:rPr>
          <w:rFonts w:eastAsia="Songti SC" w:cs="Arial Unicode MS" w:ascii="Helvetica Neue" w:hAnsi="Helvetica Neue"/>
          <w:b w:val="false"/>
          <w:bCs w:val="false"/>
          <w:color w:val="000000"/>
          <w:kern w:val="2"/>
          <w:sz w:val="24"/>
          <w:szCs w:val="24"/>
          <w:shd w:fill="auto" w:val="clear"/>
          <w:lang w:val="cs-CZ" w:eastAsia="zh-CN" w:bidi="hi-IN"/>
        </w:rPr>
        <w:t>ři poskytování služby dodržovat kvalitativní parametry Pasivní infrastruktury stanovené v příloze č. 4 – Minimální soubor SLA.</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Údržba</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Po celou dobu u</w:t>
      </w:r>
      <w:r>
        <w:rPr>
          <w:rFonts w:eastAsia="Songti SC" w:cs="Arial Unicode MS" w:ascii="Helvetica Neue" w:hAnsi="Helvetica Neue"/>
          <w:b w:val="false"/>
          <w:bCs w:val="false"/>
          <w:color w:val="000000"/>
          <w:kern w:val="2"/>
          <w:sz w:val="24"/>
          <w:szCs w:val="24"/>
          <w:shd w:fill="auto" w:val="clear"/>
          <w:lang w:val="cs-CZ" w:eastAsia="zh-CN" w:bidi="hi-IN"/>
        </w:rPr>
        <w:t>žívání je Sprintel povinen udržovat infrastrukturu využívanou k poskytnutí služby v plně funkčním stavu odpovídajícím Specifikacím a umožňujícím její nepřetržitý provoz. Při technických a servisních zásazích, údržbě a měření se postupuje dle přílohy č. 5 – Postupy a pravidla pro jednotlivé služby.</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Ostatní ujednání</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se zavazuje poskytnout Partnerovi optická vlákna, HDPE mikrotrubičky či HDPE trubky na vlastní infrastruktuře vybudované bez využití dotací, za předpokladu, že je k dispozici volná kapacita a nejde o strategickou rezervu (v případě HDPE trubek a mikrotrubiček), přičemž přednostně je poskytováno optické vlákno, a to vše pouze za účelem propojení Partnera z jeho PoPu či jiného bodu infrastruktury do Dotované sítě. Minimální rozsah takto přístupné nedotované infrastruktury je vyznačen v příloze č. 2. Využití jiných úseků infrastruktury, místo a způsob jejich napojení je předmětem posouzení dle konkrétních požadavků Partnera.</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 xml:space="preserve">Sprintel se zavazuje, že Služba bude mít stejné vlastnosti pro poskytování širokopásmových služeb, jako fyzické zpřístupnění účastnického vedení. Nabízeny budou shodné rychlostní profily odpovídající požadavkům na kapacitu Dotované sítě jako jsou využívány pro poskytování služeb Sprintel na Dotované síti. Sprintel se zavazuje poskytnout Partnerovi kolokační služby v bodech vyznačených v příloze č. 2 a to v rozsahu a míře odpovídající oprávněným potřebám partnera a charakteru a technické vybavenosti jednotlivých PoPů. Přístup k takto umístěným prvkům se řídí přílohou č. 5. V případě, kdy kapacita zázemí současného uzlu nestačila, Partner má možnost, v případě, kdy si uzavře vlastní nájemní smlouvu s vlastníkem objektu, realizovat propojení do PoPu Sprintel a Sprintel mu toto umožní. </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Závazek převzetí</w:t>
      </w:r>
    </w:p>
    <w:p>
      <w:pPr>
        <w:pStyle w:val="BodyText"/>
        <w:spacing w:lineRule="auto" w:line="290" w:before="1" w:after="0"/>
        <w:ind w:hanging="0" w:left="136" w:right="135"/>
        <w:jc w:val="left"/>
        <w:rPr>
          <w:rFonts w:ascii="Helvetica Neue" w:hAnsi="Helvetica Neue"/>
          <w:b w:val="false"/>
          <w:bCs w:val="false"/>
          <w:sz w:val="12"/>
          <w:szCs w:val="12"/>
          <w:highlight w:val="none"/>
          <w:shd w:fill="auto" w:val="clear"/>
        </w:rPr>
      </w:pPr>
      <w:r>
        <w:rPr>
          <w:rFonts w:ascii="Helvetica Neue" w:hAnsi="Helvetica Neue"/>
          <w:b w:val="false"/>
          <w:bCs w:val="false"/>
          <w:sz w:val="12"/>
          <w:szCs w:val="12"/>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Nejpozd</w:t>
      </w:r>
      <w:r>
        <w:rPr>
          <w:rFonts w:eastAsia="Songti SC" w:cs="Arial Unicode MS" w:ascii="Helvetica Neue" w:hAnsi="Helvetica Neue"/>
          <w:b w:val="false"/>
          <w:bCs w:val="false"/>
          <w:color w:val="000000"/>
          <w:kern w:val="2"/>
          <w:sz w:val="24"/>
          <w:szCs w:val="24"/>
          <w:shd w:fill="auto" w:val="clear"/>
          <w:lang w:val="cs-CZ" w:eastAsia="zh-CN" w:bidi="hi-IN"/>
        </w:rPr>
        <w:t>ěji do 5ti dnů od ukončení úspěšného zkušebního provozu v řádném stavu a bez závad a současně ve lhůtách, které určuje Smlouva a její přílohy, Partner převezme službu a převzetí stvrdí podpisem této přílohy.</w:t>
      </w:r>
    </w:p>
    <w:p>
      <w:pPr>
        <w:pStyle w:val="BodyText"/>
        <w:spacing w:lineRule="auto" w:line="290" w:before="1" w:after="0"/>
        <w:ind w:hanging="0" w:left="136" w:right="135"/>
        <w:jc w:val="left"/>
        <w:rPr>
          <w:rFonts w:ascii="Helvetica Neue" w:hAnsi="Helvetica Neue"/>
          <w:b w:val="false"/>
          <w:bCs w:val="false"/>
          <w:sz w:val="12"/>
          <w:szCs w:val="12"/>
          <w:highlight w:val="none"/>
          <w:shd w:fill="auto" w:val="clear"/>
        </w:rPr>
      </w:pPr>
      <w:r>
        <w:rPr>
          <w:rFonts w:ascii="Helvetica Neue" w:hAnsi="Helvetica Neue"/>
          <w:b w:val="false"/>
          <w:bCs w:val="false"/>
          <w:sz w:val="12"/>
          <w:szCs w:val="12"/>
          <w:shd w:fill="auto" w:val="clear"/>
        </w:rPr>
      </w:r>
    </w:p>
    <w:p>
      <w:pPr>
        <w:pStyle w:val="BodyText"/>
        <w:spacing w:lineRule="auto" w:line="290" w:before="1" w:after="0"/>
        <w:ind w:hanging="0" w:left="136" w:right="135"/>
        <w:jc w:val="left"/>
        <w:rPr>
          <w:rFonts w:ascii="Helvetica Neue" w:hAnsi="Helvetica Neue"/>
          <w:b w:val="false"/>
          <w:bCs w:val="false"/>
          <w:sz w:val="12"/>
          <w:szCs w:val="12"/>
          <w:highlight w:val="none"/>
          <w:shd w:fill="auto" w:val="clear"/>
        </w:rPr>
      </w:pPr>
      <w:r>
        <w:rPr>
          <w:rFonts w:ascii="Helvetica Neue" w:hAnsi="Helvetica Neue"/>
          <w:b w:val="false"/>
          <w:bCs w:val="false"/>
          <w:sz w:val="12"/>
          <w:szCs w:val="12"/>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VII.</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Specifikace předmětu užívání</w:t>
      </w:r>
    </w:p>
    <w:p>
      <w:pPr>
        <w:pStyle w:val="BodyText"/>
        <w:spacing w:lineRule="auto" w:line="290" w:before="1" w:after="0"/>
        <w:ind w:hanging="0" w:left="136" w:right="135"/>
        <w:jc w:val="left"/>
        <w:rPr>
          <w:rFonts w:ascii="Helvetica Neue" w:hAnsi="Helvetica Neue"/>
          <w:b w:val="false"/>
          <w:bCs w:val="false"/>
          <w:sz w:val="8"/>
          <w:szCs w:val="8"/>
          <w:highlight w:val="none"/>
          <w:shd w:fill="auto" w:val="clear"/>
        </w:rPr>
      </w:pPr>
      <w:r>
        <w:rPr>
          <w:rFonts w:ascii="Helvetica Neue" w:hAnsi="Helvetica Neue"/>
          <w:b w:val="false"/>
          <w:bCs w:val="false"/>
          <w:sz w:val="8"/>
          <w:szCs w:val="8"/>
          <w:shd w:fill="auto" w:val="clear"/>
        </w:rPr>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1) Um</w:t>
      </w:r>
      <w:r>
        <w:rPr>
          <w:rFonts w:eastAsia="Songti SC" w:cs="Arial Unicode MS" w:ascii="Helvetica Neue" w:hAnsi="Helvetica Neue"/>
          <w:b w:val="false"/>
          <w:bCs w:val="false"/>
          <w:color w:val="000000"/>
          <w:kern w:val="2"/>
          <w:sz w:val="24"/>
          <w:szCs w:val="24"/>
          <w:shd w:fill="auto" w:val="clear"/>
          <w:lang w:val="cs-CZ" w:eastAsia="zh-CN" w:bidi="hi-IN"/>
        </w:rPr>
        <w:t>ístění (Adresy, GPS)</w:t>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t>2) Specifikace za</w:t>
      </w:r>
      <w:r>
        <w:rPr>
          <w:rFonts w:eastAsia="Songti SC" w:cs="Arial Unicode MS" w:ascii="Helvetica Neue" w:hAnsi="Helvetica Neue"/>
          <w:color w:val="auto"/>
          <w:kern w:val="2"/>
          <w:sz w:val="24"/>
          <w:szCs w:val="24"/>
          <w:lang w:val="cs-CZ" w:eastAsia="zh-CN" w:bidi="hi-IN"/>
        </w:rPr>
        <w:t>řízení a rozhraní, technická pravidla a podmínky pro přístup</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ascii="Helvetica Neue" w:hAnsi="Helvetica Neue"/>
        </w:rPr>
      </w:pPr>
      <w:r>
        <w:rPr>
          <w:rFonts w:eastAsia="Songti SC" w:cs="Arial Unicode MS" w:ascii="Helvetica Neue" w:hAnsi="Helvetica Neue"/>
          <w:color w:val="auto"/>
          <w:kern w:val="2"/>
          <w:sz w:val="24"/>
          <w:szCs w:val="24"/>
          <w:lang w:val="cs-CZ" w:eastAsia="zh-CN" w:bidi="hi-IN"/>
        </w:rPr>
        <w:t>3) Síťová hierarchie přístupu</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ascii="Helvetica Neue" w:hAnsi="Helvetica Neue"/>
        </w:rPr>
      </w:pPr>
      <w:r>
        <w:rPr>
          <w:rFonts w:eastAsia="Songti SC" w:cs="Arial Unicode MS" w:ascii="Helvetica Neue" w:hAnsi="Helvetica Neue"/>
          <w:color w:val="auto"/>
          <w:kern w:val="2"/>
          <w:sz w:val="24"/>
          <w:szCs w:val="24"/>
          <w:lang w:val="cs-CZ" w:eastAsia="zh-CN" w:bidi="hi-IN"/>
        </w:rPr>
        <w:t>4) Podmínky kolokace</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ascii="Helvetica Neue" w:hAnsi="Helvetica Neue"/>
        </w:rPr>
      </w:pPr>
      <w:r>
        <w:rPr>
          <w:rFonts w:eastAsia="Songti SC" w:cs="Arial Unicode MS" w:ascii="Helvetica Neue" w:hAnsi="Helvetica Neue"/>
          <w:color w:val="auto"/>
          <w:kern w:val="2"/>
          <w:sz w:val="24"/>
          <w:szCs w:val="24"/>
          <w:lang w:val="cs-CZ" w:eastAsia="zh-CN" w:bidi="hi-IN"/>
        </w:rPr>
        <w:t>5) Zákres trasy</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right="135"/>
        <w:jc w:val="left"/>
        <w:rPr>
          <w:rFonts w:eastAsia="Songti SC" w:cs="Arial Unicode MS"/>
          <w:color w:val="auto"/>
          <w:kern w:val="2"/>
          <w:sz w:val="12"/>
          <w:szCs w:val="12"/>
          <w:lang w:val="cs-CZ" w:eastAsia="zh-CN" w:bidi="hi-IN"/>
        </w:rPr>
      </w:pPr>
      <w:r>
        <w:rPr>
          <w:rFonts w:eastAsia="Songti SC" w:cs="Arial Unicode MS"/>
          <w:color w:val="auto"/>
          <w:kern w:val="2"/>
          <w:sz w:val="12"/>
          <w:szCs w:val="12"/>
          <w:lang w:val="cs-CZ" w:eastAsia="zh-CN" w:bidi="hi-IN"/>
        </w:rPr>
      </w:r>
    </w:p>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ředal dne:</w:t>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tc>
        <w:tc>
          <w:tcPr>
            <w:tcW w:w="4819"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řevzal dne:</w:t>
            </w:r>
          </w:p>
        </w:tc>
      </w:tr>
      <w:tr>
        <w:trPr/>
        <w:tc>
          <w:tcPr>
            <w:tcW w:w="4818" w:type="dxa"/>
            <w:tcBorders/>
          </w:tcPr>
          <w:p>
            <w:pPr>
              <w:pStyle w:val="Obsahtabulky"/>
              <w:widowControl w:val="false"/>
              <w:rPr>
                <w:rFonts w:ascii="Helvetica Neue" w:hAnsi="Helvetica Neue"/>
              </w:rPr>
            </w:pPr>
            <w:r>
              <w:rPr>
                <w:rFonts w:ascii="Helvetica Neue" w:hAnsi="Helvetica Neue"/>
              </w:rPr>
              <w:t>za Sprintel s.r.o.</w:t>
            </w:r>
          </w:p>
        </w:tc>
        <w:tc>
          <w:tcPr>
            <w:tcW w:w="4819" w:type="dxa"/>
            <w:tcBorders/>
          </w:tcPr>
          <w:p>
            <w:pPr>
              <w:pStyle w:val="Obsahtabulky"/>
              <w:widowControl w:val="false"/>
              <w:rPr>
                <w:rFonts w:ascii="Helvetica Neue" w:hAnsi="Helvetica Neue"/>
              </w:rPr>
            </w:pPr>
            <w:r>
              <w:rPr>
                <w:rFonts w:ascii="Helvetica Neue" w:hAnsi="Helvetica Neue"/>
              </w:rPr>
              <w:t>za Partnera</w:t>
            </w:r>
          </w:p>
        </w:tc>
      </w:tr>
    </w:tbl>
    <w:p>
      <w:pPr>
        <w:pStyle w:val="BodyText"/>
        <w:spacing w:lineRule="auto" w:line="290" w:before="1" w:after="0"/>
        <w:ind w:hanging="0" w:right="135"/>
        <w:jc w:val="left"/>
        <w:rPr>
          <w:sz w:val="4"/>
          <w:szCs w:val="4"/>
        </w:rPr>
      </w:pPr>
      <w:r>
        <w:rPr>
          <w:sz w:val="4"/>
          <w:szCs w:val="4"/>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Helvetica Neue">
    <w:charset w:val="01"/>
    <w:family w:val="roman"/>
    <w:pitch w:val="variable"/>
  </w:font>
  <w:font w:name="Webdings">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napToGrid w:val="false"/>
      <w:jc w:val="left"/>
      <w:rPr/>
    </w:pPr>
    <w:r>
      <w:rPr/>
      <mc:AlternateContent>
        <mc:Choice Requires="wps">
          <w:drawing>
            <wp:anchor behindDoc="1" distT="635" distB="635" distL="635" distR="635" simplePos="0" locked="0" layoutInCell="1" allowOverlap="1" relativeHeight="7">
              <wp:simplePos x="0" y="0"/>
              <wp:positionH relativeFrom="column">
                <wp:posOffset>79375</wp:posOffset>
              </wp:positionH>
              <wp:positionV relativeFrom="paragraph">
                <wp:posOffset>79375</wp:posOffset>
              </wp:positionV>
              <wp:extent cx="6120130" cy="0"/>
              <wp:effectExtent l="635" t="635" r="635" b="635"/>
              <wp:wrapNone/>
              <wp:docPr id="5"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3f</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4</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4</w:t>
          </w:r>
          <w:r>
            <w:rPr>
              <w:rFonts w:ascii="Helvetica Neue" w:hAnsi="Helvetica Neue"/>
            </w:rPr>
            <w:fldChar w:fldCharType="end"/>
          </w:r>
        </w:p>
      </w:tc>
    </w:tr>
  </w:tbl>
  <w:p>
    <w:pPr>
      <w:pStyle w:val="Footer"/>
      <w:bidi w:val="0"/>
      <w:snapToGrid w:val="false"/>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left"/>
      <w:rPr>
        <w:sz w:val="4"/>
        <w:szCs w:val="4"/>
      </w:rPr>
    </w:pPr>
    <w:r>
      <w:rPr>
        <w:sz w:val="4"/>
        <w:szCs w:val="4"/>
      </w:rPr>
    </w:r>
  </w:p>
  <w:tbl>
    <w:tblPr>
      <w:tblW w:w="9546" w:type="dxa"/>
      <w:jc w:val="left"/>
      <w:tblInd w:w="-69" w:type="dxa"/>
      <w:tblLayout w:type="fixed"/>
      <w:tblCellMar>
        <w:top w:w="0" w:type="dxa"/>
        <w:left w:w="70" w:type="dxa"/>
        <w:bottom w:w="0" w:type="dxa"/>
        <w:right w:w="70" w:type="dxa"/>
      </w:tblCellMar>
    </w:tblPr>
    <w:tblGrid>
      <w:gridCol w:w="4773"/>
      <w:gridCol w:w="4772"/>
    </w:tblGrid>
    <w:tr>
      <w:trPr/>
      <w:tc>
        <w:tcPr>
          <w:tcW w:w="4773" w:type="dxa"/>
          <w:tcBorders/>
        </w:tcPr>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Footer"/>
            <w:widowControl w:val="false"/>
            <w:bidi w:val="0"/>
            <w:jc w:val="right"/>
            <w:rPr/>
          </w:pPr>
          <w:r>
            <w:rPr>
              <w:rFonts w:cs="Tahoma" w:ascii="Tahoma" w:hAnsi="Tahoma"/>
              <w:sz w:val="22"/>
              <w:szCs w:val="22"/>
            </w:rPr>
            <w:t>www.sprintel.cz  info@sprintel.cz</w:t>
          </w:r>
        </w:p>
        <w:p>
          <w:pPr>
            <w:pStyle w:val="Footer"/>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589"/>
      <w:gridCol w:w="5048"/>
    </w:tblGrid>
    <w:tr>
      <w:trPr/>
      <w:tc>
        <w:tcPr>
          <w:tcW w:w="4589" w:type="dxa"/>
          <w:tcBorders/>
        </w:tcPr>
        <w:p>
          <w:pPr>
            <w:pStyle w:val="Header"/>
            <w:pageBreakBefore/>
            <w:widowControl w:val="false"/>
            <w:bidi w:val="0"/>
            <w:jc w:val="left"/>
            <w:rPr>
              <w:highlight w:val="none"/>
              <w:shd w:fill="auto" w:val="clear"/>
            </w:rPr>
          </w:pPr>
          <w:r>
            <w:drawing>
              <wp:anchor behindDoc="1" distT="0" distB="0" distL="0" distR="0" simplePos="0" locked="0" layoutInCell="1" allowOverlap="1" relativeHeight="12">
                <wp:simplePos x="0" y="0"/>
                <wp:positionH relativeFrom="column">
                  <wp:posOffset>320040</wp:posOffset>
                </wp:positionH>
                <wp:positionV relativeFrom="paragraph">
                  <wp:posOffset>786130</wp:posOffset>
                </wp:positionV>
                <wp:extent cx="5380355" cy="8315325"/>
                <wp:effectExtent l="0" t="0" r="0" b="0"/>
                <wp:wrapNone/>
                <wp:docPr id="2" name="Obrázek2 k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kopie 1"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5048" w:type="dxa"/>
          <w:tcBorders/>
        </w:tcPr>
        <w:p>
          <w:pPr>
            <w:pStyle w:val="Obsahtabulky"/>
            <w:widowControl w:val="false"/>
            <w:bidi w:val="0"/>
            <w:jc w:val="right"/>
            <w:rPr>
              <w:highlight w:val="none"/>
              <w:shd w:fill="auto" w:val="clear"/>
            </w:rPr>
          </w:pPr>
          <w:r>
            <w:rPr>
              <w:rFonts w:ascii="Helvetica Neue" w:hAnsi="Helvetica Neue"/>
              <w:shd w:fill="auto" w:val="clear"/>
            </w:rPr>
            <w:t>Verze 0.1 ze dne 30.10.2024</w:t>
          </w:r>
        </w:p>
      </w:tc>
    </w:tr>
  </w:tbl>
  <w:p>
    <w:pPr>
      <w:pStyle w:val="Header"/>
      <w:bidi w:val="0"/>
      <w:jc w:val="left"/>
      <w:rPr>
        <w:rFonts w:ascii="Helvetica Neue" w:hAnsi="Helvetica Neue"/>
        <w:sz w:val="4"/>
        <w:szCs w:val="4"/>
      </w:rPr>
    </w:pPr>
    <w:r>
      <w:rPr>
        <w:rFonts w:ascii="Helvetica Neue" w:hAnsi="Helvetica Neue"/>
        <w:sz w:val="4"/>
        <w:szCs w:val="4"/>
      </w:rPr>
    </w:r>
  </w:p>
  <w:p>
    <w:pPr>
      <w:pStyle w:val="Header"/>
      <w:bidi w:val="0"/>
      <w:jc w:val="left"/>
      <w:rPr>
        <w:sz w:val="12"/>
        <w:szCs w:val="12"/>
      </w:rPr>
    </w:pPr>
    <w:r>
      <w:rPr>
        <w:sz w:val="12"/>
        <w:szCs w:val="12"/>
      </w:rPr>
      <mc:AlternateContent>
        <mc:Choice Requires="wps">
          <w:drawing>
            <wp:anchor behindDoc="1" distT="635" distB="635" distL="635" distR="635" simplePos="0" locked="0" layoutInCell="1" allowOverlap="1" relativeHeight="4">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left"/>
      <w:rPr/>
    </w:pPr>
    <w:r>
      <w:rPr/>
      <w:drawing>
        <wp:anchor behindDoc="1" distT="0" distB="0" distL="0" distR="0" simplePos="0" locked="0" layoutInCell="1" allowOverlap="1" relativeHeight="8">
          <wp:simplePos x="0" y="0"/>
          <wp:positionH relativeFrom="column">
            <wp:posOffset>320040</wp:posOffset>
          </wp:positionH>
          <wp:positionV relativeFrom="paragraph">
            <wp:posOffset>786130</wp:posOffset>
          </wp:positionV>
          <wp:extent cx="5380355" cy="8315325"/>
          <wp:effectExtent l="0" t="0" r="0" b="0"/>
          <wp:wrapNone/>
          <wp:docPr id="4"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p>
  <w:p>
    <w:pPr>
      <w:pStyle w:val="Header"/>
      <w:bidi w:val="0"/>
      <w:jc w:val="left"/>
      <w:rPr/>
    </w:pPr>
    <w:r>
      <w:rPr/>
    </w:r>
  </w:p>
</w:hdr>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Heading1">
    <w:name w:val="Heading 1"/>
    <w:basedOn w:val="Normal"/>
    <w:qFormat/>
    <w:pPr>
      <w:ind w:hanging="357" w:left="491"/>
      <w:outlineLvl w:val="0"/>
    </w:pPr>
    <w:rPr>
      <w:rFonts w:ascii="Arial" w:hAnsi="Arial" w:eastAsia="Arial" w:cs="Arial"/>
      <w:sz w:val="32"/>
      <w:szCs w:val="32"/>
    </w:rPr>
  </w:style>
  <w:style w:type="character" w:styleId="Hyperlink">
    <w:name w:val="Hyperlink"/>
    <w:rPr>
      <w:color w:val="000080"/>
      <w:u w:val="single"/>
      <w:lang w:val="zxx" w:eastAsia="zxx" w:bidi="zxx"/>
    </w:rPr>
  </w:style>
  <w:style w:type="paragraph" w:styleId="Nadpis">
    <w:name w:val="Nadpis"/>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Header">
    <w:name w:val="Header"/>
    <w:basedOn w:val="Zhlavazpat"/>
    <w:pPr>
      <w:suppressLineNumbers/>
    </w:pPr>
    <w:rPr/>
  </w:style>
  <w:style w:type="paragraph" w:styleId="Footer">
    <w:name w:val="Footer"/>
    <w:basedOn w:val="Zhlavazpat"/>
    <w:pPr>
      <w:suppressLineNumbers/>
      <w:spacing w:lineRule="auto" w:line="240" w:before="0" w:after="0"/>
      <w:contextualSpacing/>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hanging="0" w:left="636"/>
    </w:pPr>
    <w:rPr/>
  </w:style>
  <w:style w:type="paragraph" w:styleId="Body-dal">
    <w:name w:val="body - další"/>
    <w:basedOn w:val="ListParagraph"/>
    <w:qFormat/>
    <w:pPr>
      <w:widowControl/>
      <w:spacing w:lineRule="auto" w:line="276" w:before="0" w:after="120"/>
      <w:ind w:hanging="0" w:lef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599</TotalTime>
  <Application>LibreOffice/24.2.3.2$MacOSX_AARCH64 LibreOffice_project/433d9c2ded56988e8a90e6b2e771ee4e6a5ab2ba</Application>
  <AppVersion>15.0000</AppVersion>
  <Pages>4</Pages>
  <Words>917</Words>
  <Characters>5508</Characters>
  <CharactersWithSpaces>6374</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2025-01-23T09:46:21Z</dcterms:modified>
  <cp:revision>192</cp:revision>
  <dc:subject/>
  <dc:title/>
</cp:coreProperties>
</file>

<file path=docProps/custom.xml><?xml version="1.0" encoding="utf-8"?>
<Properties xmlns="http://schemas.openxmlformats.org/officeDocument/2006/custom-properties" xmlns:vt="http://schemas.openxmlformats.org/officeDocument/2006/docPropsVTypes"/>
</file>