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6.xml.rels" ContentType="application/vnd.openxmlformats-package.relationships+xml"/>
  <Override PartName="/word/_rels/document.xml.rels" ContentType="application/vnd.openxmlformats-package.relationships+xml"/>
  <Override PartName="/word/_rels/header5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media/image1.png" ContentType="image/png"/>
  <Override PartName="/word/media/image2.png" ContentType="image/png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footer5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4"/>
        <w:gridCol w:w="5910"/>
      </w:tblGrid>
      <w:tr>
        <w:trPr/>
        <w:tc>
          <w:tcPr>
            <w:tcW w:w="3734" w:type="dxa"/>
            <w:tcBorders/>
            <w:vAlign w:val="center"/>
          </w:tcPr>
          <w:p>
            <w:pPr>
              <w:pStyle w:val="Obsahtabulky"/>
              <w:widowControl w:val="false"/>
              <w:rPr/>
            </w:pPr>
            <w:r>
              <w:rPr/>
              <w:drawing>
                <wp:inline distT="0" distB="0" distL="0" distR="0">
                  <wp:extent cx="2300605" cy="1056640"/>
                  <wp:effectExtent l="0" t="0" r="0" b="0"/>
                  <wp:docPr id="1" name="Obrázek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605" cy="1056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  <w:tcBorders/>
          </w:tcPr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sz w:val="36"/>
                <w:szCs w:val="36"/>
              </w:rPr>
            </w:pPr>
            <w:r>
              <w:rPr>
                <w:rFonts w:ascii="Helvetica Neue" w:hAnsi="Helvetica Neue"/>
                <w:sz w:val="36"/>
                <w:szCs w:val="36"/>
              </w:rPr>
              <w:t xml:space="preserve">Referenční velkoobchodní nabídka 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přístupu na sítích VHCN budovaných s využitím dotačních programů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/>
            </w:pPr>
            <w:r>
              <w:rPr>
                <w:rFonts w:ascii="Helvetica Neue" w:hAnsi="Helvetica Neue"/>
                <w:sz w:val="40"/>
                <w:szCs w:val="40"/>
              </w:rPr>
              <w:t>„</w:t>
            </w:r>
            <w:r>
              <w:rPr>
                <w:rFonts w:ascii="Helvetica Neue" w:hAnsi="Helvetica Neue"/>
                <w:sz w:val="40"/>
                <w:szCs w:val="40"/>
              </w:rPr>
              <w:t>Digitální vysokokapacitní sítě“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/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32"/>
                <w:szCs w:val="32"/>
                <w:lang w:val="cs-CZ" w:eastAsia="zh-CN" w:bidi="hi-IN"/>
              </w:rPr>
              <w:t>příloha č. 3a - Kolokační služby</w:t>
            </w:r>
          </w:p>
        </w:tc>
      </w:tr>
    </w:tbl>
    <w:p>
      <w:pPr>
        <w:pStyle w:val="Normal"/>
        <w:bidi w:val="0"/>
        <w:jc w:val="center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Heading1"/>
        <w:tabs>
          <w:tab w:val="clear" w:pos="720"/>
          <w:tab w:val="left" w:pos="403" w:leader="none"/>
        </w:tabs>
        <w:spacing w:before="89" w:after="0"/>
        <w:ind w:hanging="0" w:left="134"/>
        <w:jc w:val="center"/>
        <w:rPr/>
      </w:pPr>
      <w:r>
        <w:rPr>
          <w:rFonts w:ascii="Helvetica Neue" w:hAnsi="Helvetica Neue"/>
        </w:rPr>
        <w:t>Kolokace aktivní a pasivní technologie</w:t>
      </w:r>
    </w:p>
    <w:p>
      <w:pPr>
        <w:pStyle w:val="Heading1"/>
        <w:tabs>
          <w:tab w:val="clear" w:pos="720"/>
          <w:tab w:val="left" w:pos="403" w:leader="none"/>
        </w:tabs>
        <w:spacing w:before="89" w:after="0"/>
        <w:ind w:hanging="0" w:left="134"/>
        <w:jc w:val="center"/>
        <w:rPr/>
      </w:pPr>
      <w:r>
        <w:rPr>
          <w:rFonts w:ascii="Helvetica Neue" w:hAnsi="Helvetica Neue"/>
        </w:rPr>
        <w:t>Technická specifikace a specifikace služby</w:t>
      </w:r>
    </w:p>
    <w:p>
      <w:pPr>
        <w:pStyle w:val="BodyText"/>
        <w:spacing w:before="2" w:after="0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tbl>
      <w:tblPr>
        <w:tblW w:w="9300" w:type="dxa"/>
        <w:jc w:val="left"/>
        <w:tblInd w:w="1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94"/>
        <w:gridCol w:w="4605"/>
      </w:tblGrid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 xml:space="preserve">Služba 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č.</w:t>
            </w:r>
            <w:r>
              <w:rPr>
                <w:rFonts w:ascii="Helvetica Neue" w:hAnsi="Helvetica Neue"/>
                <w:sz w:val="26"/>
                <w:szCs w:val="26"/>
              </w:rPr>
              <w:t xml:space="preserve"> : 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Partner – jm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éno/název: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 xml:space="preserve">Partner – ID: 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Obec: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Žádost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šetření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implementace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Zprovozn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ění služby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zkušebního provozu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Ukon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čení zkušebního provozu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ředání služby Partnerovi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Ukon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čení služby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sz w:val="20"/>
          <w:szCs w:val="20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I. 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Služba kolokace aktivní a pasivní technologie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highlight w:val="none"/>
          <w:shd w:fill="FFFF00" w:val="clear"/>
        </w:rPr>
      </w:pPr>
      <w:r>
        <w:rPr>
          <w:rFonts w:ascii="Helvetica Neue" w:hAnsi="Helvetica Neue"/>
          <w:shd w:fill="auto" w:val="clear"/>
        </w:rPr>
        <w:t>Dotovan</w:t>
      </w: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á síť je již ve svém návrhu dimenzována pro poskytnutí kolokačních služeb velkoobchodním partnerům. K tomuto účelu mají nově vybudované dotované PoPy dostatečnou kapacitní rezervu pro umístění potřebných síťových prvků. Další náročnější a objemnější technologie lze umisťovat do navazujících nedotovaných PoPů a datacenter Sprintel. Sprintel prohlašuje, že je vlastníkem nebo oprávněným uživatelem rozvaděčů a podpůrných technologií, jejíž části hodlá Partner využívat v rámci Smlouvy a které tato příloha specifikuje.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sz w:val="16"/>
          <w:szCs w:val="16"/>
          <w:shd w:fill="auto" w:val="clear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020" w:right="1020" w:gutter="0" w:header="567" w:top="1340" w:footer="567" w:bottom="1799"/>
          <w:pgNumType w:fmt="decimal"/>
          <w:formProt w:val="false"/>
          <w:textDirection w:val="lrTb"/>
          <w:docGrid w:type="default" w:linePitch="100" w:charSpace="0"/>
        </w:sectPr>
        <w:pStyle w:val="BodyText"/>
        <w:spacing w:lineRule="auto" w:line="290" w:before="1" w:after="0"/>
        <w:ind w:hanging="0" w:left="136" w:right="135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Za podmínek stanovených Smlouvou a jejími přílohami tímto Sprintel uděluje Partnerovi právo k užívání technologického zázemí (tj. prostor v rozvaděči a podpůrné 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technologie – napájení 230V AC s jištěním 16A, UPS, agregát, klimatizace, pokud jsou instalovány) specifikované v této příloze.</w:t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/>
          <w:bCs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Místo přístupu ke službě kolokace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Příloha č. 2 – Schéma sítě, seznam jejích částí a pokrytých základních sídelních jednotek popisuje a specifikuje místa určené k přístupu s ohledem na dlouhodobou udržitelnost, udržovatelnost a zachování dlouhodobé kvality a možnosti budoucího rozvoje zpřístupňované infrastruktury. Přístup je tedy možný za podmínek specifikovaných touto smlouvou v aktivních uzlech (PoP) a datacentrech (DC). Přístup k síti za účelem propojení do míst kolokace poskytovaný na základě přílohy č. 3b je možný v rozvaděčích tvořících koncentrační bod (CP), v aktivních uzlech (PoP), datacentrech (DC) a po předchozím posouzení v kabelových komorách. V případech, kdy se jedná o venkovní prvky (rozvaděče CP, komory apod.) je přístup podmíněn také získáním potřebného povolení k realizaci napojení infrastruktury Partnera, pokud ta se v daném prvku (rozvaděč, komora apod.) dosud nenachází.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sz w:val="16"/>
          <w:szCs w:val="16"/>
          <w:highlight w:val="none"/>
          <w:shd w:fill="auto" w:val="clear"/>
        </w:rPr>
      </w:pPr>
      <w:r>
        <w:rPr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Kvalita služby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Sprintel se zavazuje p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ři poskytování služby dodržovat kvalitativní parametry Pasivní infrastruktury stanovené v příloze č. 4 – Minimální soubor SLA.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/>
          <w:bCs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/>
          <w:bCs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Údržba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Po celou dobu u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žívání je Sprintel povinen udržovat zpřístupněné technologické zázemí, tj. zejména rozvaděče a podpůrné technologie, v plně funkčním stavu odpovídajícím Specifikacím a umožňujícím její nepřetržitý provoz. Při technických a servisních zásazích, údržbě a měření se postupuje dle přílohy č. 5 – Postupy a pravidla pro jednotlivé služby.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Ostatní ujednání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Sprintel se zavazuje poskytnout Partnerovi službu kolokace v nedotovaných PoPech a datacentrech navazujících na dotovanou infrastrukturu, které jsou specifikované v příloze č. 2, a to pouze za účelem poskytování telekomunikačních služeb na adresních místech specifikovaných v příloze č. 1 a ohledem na kapacitu a technologickou vybavenost jednotlivých PoPů a datacenter. Umístění technologií v těchto uzlech za jiným účelem je věcí individuální dohody Sprintel a Partnera. Pokud není k dispozici vhodný prostor nebo dostupný prostor nemá potřebnou kapacitu, umožní Sprintel umístění zařízení Partnera v dostupné vzdálenosti mimo budovu hlavního rozvodu a poskytnu mu dostatečnou součinnost pro realizaci jiného technického řešení služby kolokace. Partnerovi bude umožněno v oprávněných případech (např. pokud to nevyloučí objektivní technické důvody) provádět instalaci vlastní technologie a zařízení, bez nutnosti objednávat všechny kolokační služby od Sprintel.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Závazek převzetí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Nejpozd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ěji do 5ti dnů od ukončení úspěšného zkušebního provozu v řádném stavu a bez závad a současně ve lhůtách, které určuje Smlouva a její přílohy, Partner převezme službu a převzetí stvrdí podpisem této přílohy.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Specifikace předmětu užívání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1) Um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ístění (Adresy, GPS)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  <w:t>2) Specifikace za</w:t>
      </w: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řízení a rozhraní, technická pravidla a podmínky pro přístup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3) Rozsah služeb (např. prostor v racku N x 1U, prostor na stožáru N x 1m2 atd.)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4) Síťová hierarchie přístupu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5) Podmínky kolokace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6) Zákres umístění/trasy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0"/>
          <w:szCs w:val="20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0"/>
          <w:szCs w:val="20"/>
          <w:lang w:val="cs-CZ" w:eastAsia="zh-CN" w:bidi="hi-IN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Slu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žbu</w:t>
            </w:r>
            <w:r>
              <w:rPr>
                <w:rFonts w:ascii="Helvetica Neue" w:hAnsi="Helvetica Neue"/>
              </w:rPr>
              <w:t xml:space="preserve">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ředal dne:</w:t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Slu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žbu</w:t>
            </w:r>
            <w:r>
              <w:rPr>
                <w:rFonts w:ascii="Helvetica Neue" w:hAnsi="Helvetica Neue"/>
              </w:rPr>
              <w:t xml:space="preserve">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řevzal dne: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Sprintel s.r.o.</w:t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Partnera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left"/>
        <w:rPr>
          <w:sz w:val="8"/>
          <w:szCs w:val="8"/>
        </w:rPr>
      </w:pPr>
      <w:r>
        <w:rPr>
          <w:rFonts w:ascii="Helvetica Neue" w:hAnsi="Helvetica Neue"/>
          <w:sz w:val="8"/>
          <w:szCs w:val="8"/>
        </w:rPr>
        <w:t xml:space="preserve"> </w:t>
      </w:r>
    </w:p>
    <w:sectPr>
      <w:headerReference w:type="even" r:id="rId9"/>
      <w:headerReference w:type="default" r:id="rId10"/>
      <w:headerReference w:type="first" r:id="rId11"/>
      <w:footerReference w:type="even" r:id="rId12"/>
      <w:footerReference w:type="default" r:id="rId13"/>
      <w:footerReference w:type="first" r:id="rId14"/>
      <w:type w:val="nextPage"/>
      <w:pgSz w:w="11906" w:h="16838"/>
      <w:pgMar w:left="1134" w:right="1134" w:gutter="0" w:header="567" w:top="1340" w:footer="567" w:bottom="1799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Neue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-70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Footer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Footer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-70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Footer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Footer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1" allowOverlap="1" relativeHeight="10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120130" cy="0"/>
              <wp:effectExtent l="635" t="635" r="635" b="635"/>
              <wp:wrapNone/>
              <wp:docPr id="8" name="Čára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5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938"/>
      <w:gridCol w:w="927"/>
    </w:tblGrid>
    <w:tr>
      <w:trPr/>
      <w:tc>
        <w:tcPr>
          <w:tcW w:w="8938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Příloha č. 3a</w:t>
          </w:r>
        </w:p>
      </w:tc>
      <w:tc>
        <w:tcPr>
          <w:tcW w:w="927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0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3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Footer"/>
      <w:bidi w:val="0"/>
      <w:snapToGrid w:val="false"/>
      <w:jc w:val="left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1" allowOverlap="1" relativeHeight="5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9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Příloha č. 3a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3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3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Footer"/>
      <w:bidi w:val="0"/>
      <w:snapToGrid w:val="false"/>
      <w:jc w:val="left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1" allowOverlap="1" relativeHeight="5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10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Příloha č. 3a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3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3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Footer"/>
      <w:bidi w:val="0"/>
      <w:snapToGrid w:val="false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/>
    </w:pPr>
    <w:r>
      <w:rPr/>
      <w:drawing>
        <wp:anchor behindDoc="1" distT="0" distB="0" distL="0" distR="0" simplePos="0" locked="0" layoutInCell="1" allowOverlap="1" relativeHeight="6">
          <wp:simplePos x="0" y="0"/>
          <wp:positionH relativeFrom="column">
            <wp:posOffset>320040</wp:posOffset>
          </wp:positionH>
          <wp:positionV relativeFrom="paragraph">
            <wp:posOffset>786130</wp:posOffset>
          </wp:positionV>
          <wp:extent cx="5380355" cy="8315325"/>
          <wp:effectExtent l="0" t="0" r="0" b="0"/>
          <wp:wrapNone/>
          <wp:docPr id="2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80355" cy="831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bidi w:val="0"/>
      <w:jc w:val="lef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/>
    </w:pPr>
    <w:r>
      <w:rPr/>
      <w:drawing>
        <wp:anchor behindDoc="1" distT="0" distB="0" distL="0" distR="0" simplePos="0" locked="0" layoutInCell="1" allowOverlap="1" relativeHeight="6">
          <wp:simplePos x="0" y="0"/>
          <wp:positionH relativeFrom="column">
            <wp:posOffset>320040</wp:posOffset>
          </wp:positionH>
          <wp:positionV relativeFrom="paragraph">
            <wp:posOffset>786130</wp:posOffset>
          </wp:positionV>
          <wp:extent cx="5380355" cy="8315325"/>
          <wp:effectExtent l="0" t="0" r="0" b="0"/>
          <wp:wrapNone/>
          <wp:docPr id="3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80355" cy="831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bidi w:val="0"/>
      <w:jc w:val="left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8"/>
      <w:gridCol w:w="4819"/>
    </w:tblGrid>
    <w:tr>
      <w:trPr/>
      <w:tc>
        <w:tcPr>
          <w:tcW w:w="4818" w:type="dxa"/>
          <w:tcBorders/>
        </w:tcPr>
        <w:p>
          <w:pPr>
            <w:pStyle w:val="Header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drawing>
              <wp:anchor behindDoc="1" distT="0" distB="0" distL="0" distR="0" simplePos="0" locked="0" layoutInCell="1" allowOverlap="1" relativeHeight="9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4" name="Obrázek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819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30.10.2024</w:t>
          </w:r>
        </w:p>
      </w:tc>
    </w:tr>
  </w:tbl>
  <w:p>
    <w:pPr>
      <w:pStyle w:val="Header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Header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1" allowOverlap="1" relativeHeight="3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5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8"/>
      <w:gridCol w:w="4819"/>
    </w:tblGrid>
    <w:tr>
      <w:trPr/>
      <w:tc>
        <w:tcPr>
          <w:tcW w:w="4818" w:type="dxa"/>
          <w:tcBorders/>
        </w:tcPr>
        <w:p>
          <w:pPr>
            <w:pStyle w:val="Header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drawing>
              <wp:anchor behindDoc="1" distT="0" distB="0" distL="0" distR="0" simplePos="0" locked="0" layoutInCell="1" allowOverlap="1" relativeHeight="9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6" name="Obrázek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ázek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819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30.10.2024</w:t>
          </w:r>
        </w:p>
      </w:tc>
    </w:tr>
  </w:tbl>
  <w:p>
    <w:pPr>
      <w:pStyle w:val="Header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Header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1" allowOverlap="1" relativeHeight="3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7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Heading1">
    <w:name w:val="Heading 1"/>
    <w:basedOn w:val="Normal"/>
    <w:qFormat/>
    <w:pPr>
      <w:ind w:hanging="357" w:left="491"/>
      <w:outlineLvl w:val="0"/>
    </w:pPr>
    <w:rPr>
      <w:rFonts w:ascii="Arial" w:hAnsi="Arial" w:eastAsia="Arial" w:cs="Arial"/>
      <w:sz w:val="32"/>
      <w:szCs w:val="32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Zhlavazpat"/>
    <w:pPr>
      <w:suppressLineNumbers/>
    </w:pPr>
    <w:rPr/>
  </w:style>
  <w:style w:type="paragraph" w:styleId="Footer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hanging="0" w:left="636"/>
    </w:pPr>
    <w:rPr/>
  </w:style>
  <w:style w:type="paragraph" w:styleId="Body-dal">
    <w:name w:val="body - další"/>
    <w:basedOn w:val="ListParagraph"/>
    <w:qFormat/>
    <w:pPr>
      <w:widowControl/>
      <w:spacing w:lineRule="auto" w:line="276" w:before="0" w:after="120"/>
      <w:ind w:hanging="0" w:lef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footer" Target="footer4.xml"/><Relationship Id="rId13" Type="http://schemas.openxmlformats.org/officeDocument/2006/relationships/footer" Target="footer5.xml"/><Relationship Id="rId14" Type="http://schemas.openxmlformats.org/officeDocument/2006/relationships/footer" Target="footer6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5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6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514</TotalTime>
  <Application>LibreOffice/24.2.3.2$MacOSX_AARCH64 LibreOffice_project/433d9c2ded56988e8a90e6b2e771ee4e6a5ab2ba</Application>
  <AppVersion>15.0000</AppVersion>
  <Pages>3</Pages>
  <Words>636</Words>
  <Characters>3991</Characters>
  <CharactersWithSpaces>4606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2024-01-02T10:10:46Z</dcterms:created>
  <dc:creator>Petr Kapounek</dc:creator>
  <dc:description/>
  <dc:language>cs-CZ</dc:language>
  <cp:lastModifiedBy>Petr Kapounek</cp:lastModifiedBy>
  <dcterms:modified xsi:type="dcterms:W3CDTF">2024-10-20T10:53:38Z</dcterms:modified>
  <cp:revision>176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